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1D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960A9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 w:rsidR="009046A2"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 а</w:t>
      </w:r>
      <w:r w:rsidR="00024A9A"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преля</w:t>
      </w:r>
      <w:r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024A9A"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  № </w:t>
      </w:r>
      <w:r w:rsidR="009046A2" w:rsidRPr="00960A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90</w:t>
      </w:r>
    </w:p>
    <w:p w:rsidR="00960A98" w:rsidRDefault="00960A98" w:rsidP="00960A9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960A98" w:rsidRPr="00960A98" w:rsidRDefault="00960A98" w:rsidP="00960A9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137" w:rsidRPr="00F17137" w:rsidRDefault="00A93B69" w:rsidP="00960A9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F17137" w:rsidRPr="00F171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F17137" w:rsidRPr="00F171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 на 2015-2019 годы»</w:t>
      </w:r>
    </w:p>
    <w:p w:rsidR="00AE09CF" w:rsidRPr="000F1F00" w:rsidRDefault="005772FC" w:rsidP="00960A98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024A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960A98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1D5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F17137" w:rsidRDefault="00960A98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F17137" w:rsidRPr="00F17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F17137" w:rsidRPr="00F17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 на 2015-2019 годы»</w:t>
      </w:r>
      <w:r w:rsid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E0D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официальном сайте Администрации 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E4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960A98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98" w:rsidRPr="00A93B69" w:rsidRDefault="00960A98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93B69" w:rsidRPr="00960A98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1D559D" w:rsidRPr="0096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96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В.</w:t>
      </w:r>
      <w:r w:rsidR="001D559D" w:rsidRPr="0096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</w:p>
    <w:p w:rsidR="00A93B69" w:rsidRPr="00960A98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Pr="00960A98" w:rsidRDefault="002E22AC" w:rsidP="00A93B69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17137" w:rsidRPr="00960A98" w:rsidRDefault="00F17137" w:rsidP="00F171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17137" w:rsidRPr="00960A98" w:rsidRDefault="00F17137" w:rsidP="00F171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 w:rsidRPr="0096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Донской</w:t>
      </w:r>
      <w:r w:rsidRPr="0096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 на 2015-2019 годы»</w:t>
      </w:r>
    </w:p>
    <w:p w:rsidR="00F17137" w:rsidRPr="00960A98" w:rsidRDefault="00F17137" w:rsidP="00F17137">
      <w:pPr>
        <w:tabs>
          <w:tab w:val="left" w:pos="3348"/>
        </w:tabs>
        <w:spacing w:after="0" w:line="240" w:lineRule="auto"/>
        <w:ind w:left="709" w:hanging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137" w:rsidRPr="00960A98" w:rsidRDefault="00F17137" w:rsidP="00F17137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Основные результаты, достигнутые в отчетном году:</w:t>
      </w:r>
    </w:p>
    <w:p w:rsidR="00F17137" w:rsidRPr="00960A98" w:rsidRDefault="00F17137" w:rsidP="00F17137">
      <w:pPr>
        <w:pStyle w:val="a9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     увеличено количество населения, обученного мерам пожарной безопасности;</w:t>
      </w:r>
    </w:p>
    <w:p w:rsidR="00F17137" w:rsidRPr="00960A98" w:rsidRDefault="00F17137" w:rsidP="00F171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           отсутствие погибших при пожаре людей;</w:t>
      </w:r>
    </w:p>
    <w:p w:rsidR="00F17137" w:rsidRPr="00960A98" w:rsidRDefault="00F17137" w:rsidP="00F171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           отсутствие пожаров и материальных потерь от них.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2. Перечень мероприятий, выполненных и не выполненных (с указанием причин) в установленные сроки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подпрограммы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обстановки», в которую включены два основных мероприятия: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1.Обслуживание и ремонт систем пожарной сигнализации в администрации сельсовета и учреждениях культуры – выполнено на 100%;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2. Информирование населения о мерах пожарной безопасности (проведение инструктажа).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3. Сведения о достижении значений показателей (индикаторов) муниципальной программы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Основные показатели (индикаторы) муниципальной программы достигнуты: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1. Подпрограмма 1. </w:t>
      </w:r>
      <w:r w:rsidRPr="00960A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</w:t>
      </w:r>
      <w:proofErr w:type="gramStart"/>
      <w:r w:rsidRPr="00960A98">
        <w:rPr>
          <w:rFonts w:ascii="Times New Roman" w:hAnsi="Times New Roman" w:cs="Times New Roman"/>
          <w:bCs/>
          <w:color w:val="000000"/>
          <w:sz w:val="28"/>
          <w:szCs w:val="28"/>
        </w:rPr>
        <w:t>обстановки»-</w:t>
      </w:r>
      <w:proofErr w:type="gramEnd"/>
      <w:r w:rsidRPr="00960A98">
        <w:rPr>
          <w:rFonts w:ascii="Times New Roman" w:hAnsi="Times New Roman" w:cs="Times New Roman"/>
          <w:sz w:val="28"/>
          <w:szCs w:val="28"/>
        </w:rPr>
        <w:t xml:space="preserve"> показатели (индикаторы) подпрограммы по отношению к уровню года, предшествующего отчетному, достигнуты на 100%.</w:t>
      </w:r>
    </w:p>
    <w:p w:rsidR="00F17137" w:rsidRPr="00960A98" w:rsidRDefault="00F17137" w:rsidP="00F1713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 xml:space="preserve">4. Данные об использовании бюджетных ассигнований и иных средств на выполнение мероприятий </w:t>
      </w:r>
    </w:p>
    <w:p w:rsidR="00F17137" w:rsidRPr="00960A98" w:rsidRDefault="00F17137" w:rsidP="00F17137">
      <w:pPr>
        <w:numPr>
          <w:ilvl w:val="0"/>
          <w:numId w:val="1"/>
        </w:num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A98">
        <w:rPr>
          <w:rFonts w:ascii="Times New Roman" w:eastAsia="Times New Roman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мероприятий муниципальной программы израсходовано </w:t>
      </w:r>
      <w:r w:rsidR="00024A9A" w:rsidRPr="00960A98">
        <w:rPr>
          <w:rFonts w:ascii="Times New Roman" w:eastAsia="Times New Roman" w:hAnsi="Times New Roman" w:cs="Times New Roman"/>
          <w:sz w:val="28"/>
          <w:szCs w:val="28"/>
        </w:rPr>
        <w:t>5,0</w:t>
      </w:r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A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том числе: </w:t>
      </w:r>
    </w:p>
    <w:p w:rsidR="00F17137" w:rsidRPr="00960A98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из бюджета </w:t>
      </w:r>
      <w:r w:rsidR="001D559D" w:rsidRPr="00960A98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60A98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</w:t>
      </w:r>
      <w:r w:rsidR="00024A9A" w:rsidRPr="00960A98">
        <w:rPr>
          <w:rFonts w:ascii="Times New Roman" w:eastAsia="Times New Roman" w:hAnsi="Times New Roman" w:cs="Times New Roman"/>
          <w:sz w:val="28"/>
          <w:szCs w:val="28"/>
        </w:rPr>
        <w:t>5,0</w:t>
      </w:r>
      <w:r w:rsidRPr="00960A98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:rsidR="00F17137" w:rsidRPr="00960A98" w:rsidRDefault="00F17137" w:rsidP="00960A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5. Информация о внесенных ответственным исполнителем изменениях в муниципальную программу</w:t>
      </w:r>
    </w:p>
    <w:p w:rsidR="00F17137" w:rsidRPr="00960A98" w:rsidRDefault="00024A9A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В 2016</w:t>
      </w:r>
      <w:r w:rsidR="00F17137" w:rsidRPr="00960A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7137" w:rsidRPr="00960A98">
        <w:rPr>
          <w:rFonts w:ascii="Times New Roman" w:hAnsi="Times New Roman" w:cs="Times New Roman"/>
          <w:sz w:val="28"/>
          <w:szCs w:val="28"/>
        </w:rPr>
        <w:t>году  в</w:t>
      </w:r>
      <w:proofErr w:type="gramEnd"/>
      <w:r w:rsidR="00F17137" w:rsidRPr="00960A98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F17137" w:rsidRPr="00960A98">
        <w:rPr>
          <w:rFonts w:ascii="Times New Roman" w:hAnsi="Times New Roman" w:cs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 w:rsidRPr="00960A98">
        <w:rPr>
          <w:rFonts w:ascii="Times New Roman" w:hAnsi="Times New Roman" w:cs="Times New Roman"/>
          <w:bCs/>
          <w:sz w:val="28"/>
          <w:szCs w:val="28"/>
        </w:rPr>
        <w:t>Донской</w:t>
      </w:r>
      <w:r w:rsidR="00F17137" w:rsidRPr="00960A98">
        <w:rPr>
          <w:rFonts w:ascii="Times New Roman" w:hAnsi="Times New Roman" w:cs="Times New Roman"/>
          <w:bCs/>
          <w:sz w:val="28"/>
          <w:szCs w:val="28"/>
        </w:rPr>
        <w:t xml:space="preserve"> сельсовет на 2015-2019 годы» </w:t>
      </w:r>
      <w:r w:rsidR="00F17137" w:rsidRPr="00960A98">
        <w:rPr>
          <w:rFonts w:ascii="Times New Roman" w:hAnsi="Times New Roman" w:cs="Times New Roman"/>
          <w:sz w:val="28"/>
          <w:szCs w:val="28"/>
        </w:rPr>
        <w:t>изменения</w:t>
      </w:r>
      <w:r w:rsidR="00BE5E9D" w:rsidRPr="00960A98">
        <w:rPr>
          <w:rFonts w:ascii="Times New Roman" w:hAnsi="Times New Roman" w:cs="Times New Roman"/>
          <w:sz w:val="28"/>
          <w:szCs w:val="28"/>
        </w:rPr>
        <w:t xml:space="preserve"> не вносились</w:t>
      </w:r>
      <w:r w:rsidR="00F17137" w:rsidRPr="00960A98">
        <w:rPr>
          <w:rFonts w:ascii="Times New Roman" w:hAnsi="Times New Roman" w:cs="Times New Roman"/>
          <w:sz w:val="28"/>
          <w:szCs w:val="28"/>
        </w:rPr>
        <w:t>.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6. Анализ факторов, повлиявших на ход реализации муниципальной программы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Отклонений от плановой реализации муниципальной программы и воздействия факторов риска, оказывающих негативное влияние на основные параметры муниципальной программы</w:t>
      </w:r>
      <w:r w:rsidRPr="00960A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0A98">
        <w:rPr>
          <w:rFonts w:ascii="Times New Roman" w:hAnsi="Times New Roman" w:cs="Times New Roman"/>
          <w:sz w:val="28"/>
          <w:szCs w:val="28"/>
        </w:rPr>
        <w:t xml:space="preserve">и повлиявших на ход ее реализации, в отчетном году не наблюдалось. </w:t>
      </w:r>
    </w:p>
    <w:p w:rsidR="00F17137" w:rsidRPr="00960A98" w:rsidRDefault="00F17137" w:rsidP="00F171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Реализацию муниципальной программы на 201</w:t>
      </w:r>
      <w:r w:rsidR="00BE5E9D" w:rsidRPr="00960A98">
        <w:rPr>
          <w:rFonts w:ascii="Times New Roman" w:hAnsi="Times New Roman" w:cs="Times New Roman"/>
          <w:sz w:val="28"/>
          <w:szCs w:val="28"/>
        </w:rPr>
        <w:t>7</w:t>
      </w:r>
      <w:r w:rsidRPr="00960A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A98">
        <w:rPr>
          <w:rFonts w:ascii="Times New Roman" w:hAnsi="Times New Roman" w:cs="Times New Roman"/>
          <w:sz w:val="28"/>
          <w:szCs w:val="28"/>
        </w:rPr>
        <w:t>год  необходимо</w:t>
      </w:r>
      <w:proofErr w:type="gramEnd"/>
      <w:r w:rsidRPr="00960A98">
        <w:rPr>
          <w:rFonts w:ascii="Times New Roman" w:hAnsi="Times New Roman" w:cs="Times New Roman"/>
          <w:sz w:val="28"/>
          <w:szCs w:val="28"/>
        </w:rPr>
        <w:t xml:space="preserve"> продолжить. 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/>
          <w:sz w:val="28"/>
          <w:szCs w:val="28"/>
        </w:rPr>
        <w:t>7. Результаты оценки эффективности реализации муниципальной программы</w:t>
      </w:r>
    </w:p>
    <w:p w:rsidR="00F17137" w:rsidRPr="00960A98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муниципальной программы проводилась по следующим направлениям: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bCs/>
          <w:sz w:val="28"/>
          <w:szCs w:val="28"/>
        </w:rPr>
        <w:t>1.Степень достижения за отчетный период запланированных значений целевых показателей программы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A98">
        <w:rPr>
          <w:rFonts w:ascii="Times New Roman" w:hAnsi="Times New Roman" w:cs="Times New Roman"/>
          <w:bCs/>
          <w:sz w:val="28"/>
          <w:szCs w:val="28"/>
        </w:rPr>
        <w:t>2.Уровень финансирования за отчетный период мероприятий Программы от запланированных объемов.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A98">
        <w:rPr>
          <w:rFonts w:ascii="Times New Roman" w:hAnsi="Times New Roman" w:cs="Times New Roman"/>
          <w:bCs/>
          <w:sz w:val="28"/>
          <w:szCs w:val="28"/>
        </w:rPr>
        <w:t>3.Степень выполнения мероприятий Программы.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A98">
        <w:rPr>
          <w:rFonts w:ascii="Times New Roman" w:hAnsi="Times New Roman" w:cs="Times New Roman"/>
          <w:bCs/>
          <w:sz w:val="28"/>
          <w:szCs w:val="28"/>
        </w:rPr>
        <w:t>4. Оценка эффективности Программы в целом.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A98">
        <w:rPr>
          <w:rFonts w:ascii="Times New Roman" w:hAnsi="Times New Roman" w:cs="Times New Roman"/>
          <w:sz w:val="28"/>
          <w:szCs w:val="28"/>
        </w:rPr>
        <w:t>Согласно произведенным расчетам получена следующая оценка: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F17137" w:rsidRPr="00960A98" w:rsidTr="000C779E">
        <w:trPr>
          <w:jc w:val="center"/>
        </w:trPr>
        <w:tc>
          <w:tcPr>
            <w:tcW w:w="684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F17137" w:rsidRPr="00960A98" w:rsidTr="000C779E">
        <w:trPr>
          <w:jc w:val="center"/>
        </w:trPr>
        <w:tc>
          <w:tcPr>
            <w:tcW w:w="684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17137" w:rsidRPr="00960A98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17137" w:rsidRPr="00960A98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17137" w:rsidRPr="00960A98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960A98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A98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137" w:rsidRPr="00960A98" w:rsidRDefault="00BE5E9D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A98">
        <w:rPr>
          <w:rFonts w:ascii="Times New Roman" w:hAnsi="Times New Roman" w:cs="Times New Roman"/>
          <w:bCs/>
          <w:sz w:val="28"/>
          <w:szCs w:val="28"/>
        </w:rPr>
        <w:lastRenderedPageBreak/>
        <w:t>Программа реализована в 2016</w:t>
      </w:r>
      <w:r w:rsidR="00F17137" w:rsidRPr="00960A98">
        <w:rPr>
          <w:rFonts w:ascii="Times New Roman" w:hAnsi="Times New Roman" w:cs="Times New Roman"/>
          <w:bCs/>
          <w:sz w:val="28"/>
          <w:szCs w:val="28"/>
        </w:rPr>
        <w:t xml:space="preserve"> году с высоким уровнем эффективности.</w:t>
      </w:r>
    </w:p>
    <w:p w:rsidR="00F17137" w:rsidRPr="00960A98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FF1" w:rsidRPr="00960A98" w:rsidRDefault="00020FF1" w:rsidP="00F17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960A98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24A9A"/>
    <w:rsid w:val="000F1F00"/>
    <w:rsid w:val="00194CDD"/>
    <w:rsid w:val="001D559D"/>
    <w:rsid w:val="002E22AC"/>
    <w:rsid w:val="005772FC"/>
    <w:rsid w:val="0065660A"/>
    <w:rsid w:val="006B12C6"/>
    <w:rsid w:val="006E0D2E"/>
    <w:rsid w:val="008510A8"/>
    <w:rsid w:val="009046A2"/>
    <w:rsid w:val="00960A98"/>
    <w:rsid w:val="00A93B69"/>
    <w:rsid w:val="00A94AFC"/>
    <w:rsid w:val="00AE09CF"/>
    <w:rsid w:val="00BE5E9D"/>
    <w:rsid w:val="00C81921"/>
    <w:rsid w:val="00CB6D98"/>
    <w:rsid w:val="00D22C62"/>
    <w:rsid w:val="00D30134"/>
    <w:rsid w:val="00E365F4"/>
    <w:rsid w:val="00E43D43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A3D07-D01E-4667-9ABB-493D531A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2017-04-27T06:15:00Z</cp:lastPrinted>
  <dcterms:created xsi:type="dcterms:W3CDTF">2016-08-19T09:02:00Z</dcterms:created>
  <dcterms:modified xsi:type="dcterms:W3CDTF">2017-04-27T06:15:00Z</dcterms:modified>
</cp:coreProperties>
</file>